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D2A" w:rsidRDefault="005669FD">
      <w:pPr>
        <w:widowControl w:val="0"/>
        <w:tabs>
          <w:tab w:val="left" w:pos="8100"/>
        </w:tabs>
        <w:jc w:val="both"/>
        <w:rPr>
          <w:rFonts w:ascii="Arial" w:hAnsi="Arial" w:cs="Arial"/>
          <w:b/>
          <w:noProof/>
          <w:sz w:val="24"/>
          <w:lang w:val="en-US"/>
        </w:rPr>
      </w:pPr>
      <w:r>
        <w:rPr>
          <w:rFonts w:ascii="Arial" w:hAnsi="Arial" w:cs="Arial"/>
          <w:b/>
          <w:noProof/>
          <w:sz w:val="24"/>
          <w:lang w:val="en-US"/>
        </w:rPr>
        <w:t>3GPP TSG-RAN WG4 NR AH#2</w:t>
      </w:r>
      <w:r>
        <w:rPr>
          <w:rFonts w:ascii="Arial" w:hAnsi="Arial" w:cs="Arial"/>
          <w:b/>
          <w:noProof/>
          <w:sz w:val="24"/>
          <w:lang w:val="en-US"/>
        </w:rPr>
        <w:tab/>
        <w:t>R4-1706</w:t>
      </w:r>
      <w:r w:rsidR="000D5176">
        <w:rPr>
          <w:rFonts w:ascii="Arial" w:hAnsi="Arial" w:cs="Arial"/>
          <w:b/>
          <w:noProof/>
          <w:sz w:val="24"/>
          <w:lang w:val="en-US"/>
        </w:rPr>
        <w:t>5</w:t>
      </w:r>
      <w:bookmarkStart w:id="0" w:name="_GoBack"/>
      <w:bookmarkEnd w:id="0"/>
      <w:r>
        <w:rPr>
          <w:rFonts w:ascii="Arial" w:hAnsi="Arial" w:cs="Arial"/>
          <w:b/>
          <w:noProof/>
          <w:sz w:val="24"/>
          <w:lang w:val="en-US"/>
        </w:rPr>
        <w:t>20</w:t>
      </w:r>
    </w:p>
    <w:p w:rsidR="00D07D2A" w:rsidRDefault="005669FD">
      <w:pPr>
        <w:widowControl w:val="0"/>
        <w:tabs>
          <w:tab w:val="left" w:pos="8100"/>
        </w:tabs>
        <w:jc w:val="both"/>
        <w:rPr>
          <w:rFonts w:ascii="Arial" w:hAnsi="Arial" w:cs="Arial"/>
          <w:b/>
          <w:sz w:val="24"/>
        </w:rPr>
      </w:pPr>
      <w:r>
        <w:rPr>
          <w:rFonts w:ascii="Arial" w:hAnsi="Arial" w:cs="Arial"/>
          <w:b/>
          <w:noProof/>
          <w:sz w:val="24"/>
          <w:lang w:eastAsia="ja-JP"/>
        </w:rPr>
        <w:t>Qingdao, China, 27 – 29 June, 2017</w:t>
      </w:r>
    </w:p>
    <w:p w:rsidR="00D07D2A" w:rsidRDefault="00D07D2A">
      <w:pPr>
        <w:tabs>
          <w:tab w:val="left" w:pos="2127"/>
        </w:tabs>
        <w:ind w:left="2126" w:hanging="2126"/>
        <w:jc w:val="both"/>
        <w:outlineLvl w:val="0"/>
        <w:rPr>
          <w:b/>
          <w:sz w:val="24"/>
          <w:lang w:eastAsia="zh-CN"/>
        </w:rPr>
      </w:pPr>
    </w:p>
    <w:p w:rsidR="00D07D2A" w:rsidRDefault="005669FD">
      <w:pPr>
        <w:tabs>
          <w:tab w:val="left" w:pos="2127"/>
        </w:tabs>
        <w:ind w:left="2126" w:hanging="2126"/>
        <w:jc w:val="both"/>
        <w:outlineLvl w:val="0"/>
        <w:rPr>
          <w:rFonts w:ascii="Arial" w:hAnsi="Arial" w:cs="Arial"/>
          <w:sz w:val="24"/>
          <w:lang w:eastAsia="ja-JP"/>
        </w:rPr>
      </w:pPr>
      <w:r>
        <w:rPr>
          <w:rFonts w:ascii="Arial" w:hAnsi="Arial" w:cs="Arial"/>
          <w:b/>
          <w:sz w:val="24"/>
          <w:lang w:eastAsia="zh-CN"/>
        </w:rPr>
        <w:t>Source:</w:t>
      </w:r>
      <w:r>
        <w:rPr>
          <w:rFonts w:ascii="Arial" w:hAnsi="Arial" w:cs="Arial"/>
          <w:b/>
          <w:sz w:val="24"/>
          <w:lang w:eastAsia="zh-CN"/>
        </w:rPr>
        <w:tab/>
      </w:r>
      <w:r>
        <w:rPr>
          <w:rFonts w:ascii="Arial" w:hAnsi="Arial" w:cs="Arial"/>
          <w:sz w:val="24"/>
          <w:lang w:eastAsia="ja-JP"/>
        </w:rPr>
        <w:t>Intel Corporation</w:t>
      </w:r>
    </w:p>
    <w:p w:rsidR="00D07D2A" w:rsidRDefault="005669FD">
      <w:pPr>
        <w:tabs>
          <w:tab w:val="left" w:pos="2127"/>
        </w:tabs>
        <w:ind w:left="2126" w:hanging="2126"/>
        <w:jc w:val="both"/>
        <w:outlineLvl w:val="0"/>
        <w:rPr>
          <w:rFonts w:ascii="Arial" w:hAnsi="Arial" w:cs="Arial"/>
          <w:sz w:val="24"/>
          <w:lang w:eastAsia="zh-CN"/>
        </w:rPr>
      </w:pPr>
      <w:r>
        <w:rPr>
          <w:rFonts w:ascii="Arial" w:hAnsi="Arial" w:cs="Arial"/>
          <w:b/>
          <w:sz w:val="24"/>
          <w:lang w:eastAsia="zh-CN"/>
        </w:rPr>
        <w:t>Title:</w:t>
      </w:r>
      <w:r>
        <w:rPr>
          <w:rFonts w:ascii="Arial" w:hAnsi="Arial" w:cs="Arial"/>
          <w:b/>
          <w:sz w:val="24"/>
          <w:lang w:eastAsia="zh-CN"/>
        </w:rPr>
        <w:tab/>
      </w:r>
      <w:r>
        <w:rPr>
          <w:rFonts w:ascii="Arial" w:hAnsi="Arial" w:cs="Arial"/>
          <w:sz w:val="24"/>
          <w:lang w:eastAsia="zh-CN"/>
        </w:rPr>
        <w:t xml:space="preserve">On General Spurious Emissions Requirement for </w:t>
      </w:r>
      <w:proofErr w:type="spellStart"/>
      <w:r>
        <w:rPr>
          <w:rFonts w:ascii="Arial" w:hAnsi="Arial" w:cs="Arial"/>
          <w:sz w:val="24"/>
          <w:lang w:eastAsia="zh-CN"/>
        </w:rPr>
        <w:t>UE</w:t>
      </w:r>
      <w:proofErr w:type="spellEnd"/>
      <w:r>
        <w:rPr>
          <w:rFonts w:ascii="Arial" w:hAnsi="Arial" w:cs="Arial"/>
          <w:sz w:val="24"/>
          <w:lang w:eastAsia="zh-CN"/>
        </w:rPr>
        <w:t xml:space="preserve"> in </w:t>
      </w:r>
      <w:proofErr w:type="spellStart"/>
      <w:r>
        <w:rPr>
          <w:rFonts w:ascii="Arial" w:hAnsi="Arial" w:cs="Arial"/>
          <w:sz w:val="24"/>
          <w:lang w:eastAsia="zh-CN"/>
        </w:rPr>
        <w:t>mmWave</w:t>
      </w:r>
      <w:proofErr w:type="spellEnd"/>
    </w:p>
    <w:p w:rsidR="00D07D2A" w:rsidRDefault="005669FD">
      <w:pPr>
        <w:tabs>
          <w:tab w:val="left" w:pos="2127"/>
        </w:tabs>
        <w:ind w:left="2126" w:hanging="2126"/>
        <w:jc w:val="both"/>
        <w:outlineLvl w:val="0"/>
        <w:rPr>
          <w:rFonts w:ascii="Arial" w:hAnsi="Arial" w:cs="Arial"/>
          <w:b/>
          <w:lang w:eastAsia="ja-JP"/>
        </w:rPr>
      </w:pPr>
      <w:r>
        <w:rPr>
          <w:rFonts w:ascii="Arial" w:hAnsi="Arial" w:cs="Arial"/>
          <w:b/>
          <w:sz w:val="24"/>
          <w:lang w:eastAsia="zh-CN"/>
        </w:rPr>
        <w:t>Agenda Item:</w:t>
      </w:r>
      <w:r>
        <w:rPr>
          <w:rFonts w:ascii="Arial" w:hAnsi="Arial" w:cs="Arial"/>
          <w:b/>
          <w:sz w:val="24"/>
          <w:lang w:eastAsia="zh-CN"/>
        </w:rPr>
        <w:tab/>
      </w:r>
      <w:r>
        <w:rPr>
          <w:rFonts w:ascii="Arial" w:hAnsi="Arial" w:cs="Arial"/>
          <w:sz w:val="24"/>
          <w:lang w:eastAsia="zh-CN"/>
        </w:rPr>
        <w:t>3.3.3.3</w:t>
      </w:r>
    </w:p>
    <w:p w:rsidR="00D07D2A" w:rsidRDefault="005669FD">
      <w:pPr>
        <w:tabs>
          <w:tab w:val="left" w:pos="2127"/>
        </w:tabs>
        <w:ind w:left="2126" w:hanging="2126"/>
        <w:jc w:val="both"/>
        <w:outlineLvl w:val="0"/>
        <w:rPr>
          <w:rFonts w:ascii="Arial" w:hAnsi="Arial" w:cs="Arial"/>
          <w:b/>
          <w:sz w:val="24"/>
          <w:lang w:eastAsia="zh-CN"/>
        </w:rPr>
      </w:pPr>
      <w:r>
        <w:rPr>
          <w:rFonts w:ascii="Arial" w:hAnsi="Arial" w:cs="Arial"/>
          <w:b/>
          <w:sz w:val="24"/>
          <w:lang w:eastAsia="zh-CN"/>
        </w:rPr>
        <w:t>Document for:</w:t>
      </w:r>
      <w:r>
        <w:rPr>
          <w:rFonts w:ascii="Arial" w:hAnsi="Arial" w:cs="Arial"/>
          <w:b/>
          <w:sz w:val="24"/>
          <w:lang w:eastAsia="zh-CN"/>
        </w:rPr>
        <w:tab/>
      </w:r>
      <w:r>
        <w:rPr>
          <w:rFonts w:ascii="Arial" w:hAnsi="Arial" w:cs="Arial"/>
          <w:sz w:val="24"/>
          <w:lang w:eastAsia="ja-JP"/>
        </w:rPr>
        <w:t>Discussion</w:t>
      </w:r>
    </w:p>
    <w:p w:rsidR="00D07D2A" w:rsidRDefault="005669FD">
      <w:pPr>
        <w:pStyle w:val="Heading1"/>
      </w:pPr>
      <w:r>
        <w:t>1</w:t>
      </w:r>
      <w:r>
        <w:tab/>
        <w:t>Introduction</w:t>
      </w:r>
    </w:p>
    <w:p w:rsidR="00D07D2A" w:rsidRDefault="005669FD">
      <w:pPr>
        <w:rPr>
          <w:rFonts w:ascii="Arial" w:hAnsi="Arial" w:cs="Arial"/>
        </w:rPr>
      </w:pPr>
      <w:r>
        <w:rPr>
          <w:rFonts w:ascii="Arial" w:hAnsi="Arial" w:cs="Arial"/>
        </w:rPr>
        <w:t xml:space="preserve">During the RAN4 #83 meeting a discussion of spurious emissions requirement for </w:t>
      </w:r>
      <w:proofErr w:type="spellStart"/>
      <w:r>
        <w:rPr>
          <w:rFonts w:ascii="Arial" w:hAnsi="Arial" w:cs="Arial"/>
        </w:rPr>
        <w:t>mmWave</w:t>
      </w:r>
      <w:proofErr w:type="spellEnd"/>
      <w:r>
        <w:rPr>
          <w:rFonts w:ascii="Arial" w:hAnsi="Arial" w:cs="Arial"/>
        </w:rPr>
        <w:t xml:space="preserve"> NR resulted in the following agreement </w:t>
      </w:r>
      <w:r>
        <w:rPr>
          <w:rFonts w:ascii="Arial" w:hAnsi="Arial" w:cs="Arial"/>
        </w:rPr>
        <w:fldChar w:fldCharType="begin"/>
      </w:r>
      <w:r>
        <w:rPr>
          <w:rFonts w:ascii="Arial" w:hAnsi="Arial" w:cs="Arial"/>
        </w:rPr>
        <w:instrText xml:space="preserve"> REF _Ref485628388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rsidR="00D07D2A" w:rsidRDefault="00D07D2A">
      <w:pPr>
        <w:rPr>
          <w:rFonts w:ascii="Arial" w:hAnsi="Arial" w:cs="Arial"/>
        </w:rPr>
      </w:pPr>
    </w:p>
    <w:p w:rsidR="00D07D2A" w:rsidRDefault="005669FD">
      <w:pPr>
        <w:rPr>
          <w:rFonts w:ascii="Arial" w:hAnsi="Arial" w:cs="Arial"/>
        </w:rPr>
      </w:pPr>
      <w:r>
        <w:rPr>
          <w:rFonts w:ascii="Arial" w:hAnsi="Arial" w:cs="Arial"/>
          <w:noProof/>
          <w:lang w:val="en-US" w:eastAsia="ko-KR"/>
        </w:rPr>
        <mc:AlternateContent>
          <mc:Choice Requires="wps">
            <w:drawing>
              <wp:inline distT="0" distB="0" distL="0" distR="0">
                <wp:extent cx="6100091" cy="1404620"/>
                <wp:effectExtent l="0" t="0" r="1524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091" cy="1404620"/>
                        </a:xfrm>
                        <a:prstGeom prst="rect">
                          <a:avLst/>
                        </a:prstGeom>
                        <a:solidFill>
                          <a:srgbClr val="FFFFFF"/>
                        </a:solidFill>
                        <a:ln w="9525">
                          <a:solidFill>
                            <a:srgbClr val="000000"/>
                          </a:solidFill>
                          <a:miter lim="800000"/>
                          <a:headEnd/>
                          <a:tailEnd/>
                        </a:ln>
                      </wps:spPr>
                      <wps:txbx>
                        <w:txbxContent>
                          <w:p w:rsidR="00D07D2A" w:rsidRDefault="005669FD">
                            <w:pPr>
                              <w:numPr>
                                <w:ilvl w:val="0"/>
                                <w:numId w:val="22"/>
                              </w:numPr>
                              <w:rPr>
                                <w:lang w:val="en-US"/>
                              </w:rPr>
                            </w:pPr>
                            <w:r>
                              <w:rPr>
                                <w:rFonts w:hint="eastAsia"/>
                                <w:bCs/>
                                <w:lang w:val="en-US"/>
                              </w:rPr>
                              <w:t xml:space="preserve">It will be discussed how to specify NR general spurious emissions taking regions/countries where -30 </w:t>
                            </w:r>
                            <w:proofErr w:type="spellStart"/>
                            <w:r>
                              <w:rPr>
                                <w:rFonts w:hint="eastAsia"/>
                                <w:bCs/>
                                <w:lang w:val="en-US"/>
                              </w:rPr>
                              <w:t>dBm</w:t>
                            </w:r>
                            <w:proofErr w:type="spellEnd"/>
                            <w:r>
                              <w:rPr>
                                <w:rFonts w:hint="eastAsia"/>
                                <w:bCs/>
                                <w:lang w:val="en-US"/>
                              </w:rPr>
                              <w:t>/MHz could be required in future into account in the next meeting.</w:t>
                            </w:r>
                          </w:p>
                          <w:p w:rsidR="00D07D2A" w:rsidRDefault="005669FD">
                            <w:pPr>
                              <w:numPr>
                                <w:ilvl w:val="0"/>
                                <w:numId w:val="22"/>
                              </w:numPr>
                              <w:rPr>
                                <w:lang w:val="en-US"/>
                              </w:rPr>
                            </w:pPr>
                            <w:r>
                              <w:rPr>
                                <w:rFonts w:hint="eastAsia"/>
                                <w:bCs/>
                                <w:lang w:val="en-US"/>
                              </w:rPr>
                              <w:t>Potential options are below.</w:t>
                            </w:r>
                          </w:p>
                          <w:p w:rsidR="00D07D2A" w:rsidRDefault="005669FD">
                            <w:pPr>
                              <w:numPr>
                                <w:ilvl w:val="1"/>
                                <w:numId w:val="22"/>
                              </w:numPr>
                              <w:rPr>
                                <w:lang w:val="en-US"/>
                              </w:rPr>
                            </w:pPr>
                            <w:r>
                              <w:rPr>
                                <w:rFonts w:hint="eastAsia"/>
                                <w:bCs/>
                                <w:lang w:val="en-US"/>
                              </w:rPr>
                              <w:t>Option 1: Harmonic exceptions (like the current UE-to-UE co-existence requirement)</w:t>
                            </w:r>
                          </w:p>
                          <w:p w:rsidR="00D07D2A" w:rsidRDefault="005669FD">
                            <w:pPr>
                              <w:numPr>
                                <w:ilvl w:val="1"/>
                                <w:numId w:val="22"/>
                              </w:numPr>
                              <w:rPr>
                                <w:lang w:val="en-US"/>
                              </w:rPr>
                            </w:pPr>
                            <w:r>
                              <w:rPr>
                                <w:rFonts w:hint="eastAsia"/>
                                <w:bCs/>
                                <w:lang w:val="en-US"/>
                              </w:rPr>
                              <w:t>Option 2: A-MPR with NS signaling</w:t>
                            </w:r>
                          </w:p>
                          <w:p w:rsidR="00D07D2A" w:rsidRDefault="005669FD">
                            <w:pPr>
                              <w:numPr>
                                <w:ilvl w:val="1"/>
                                <w:numId w:val="22"/>
                              </w:numPr>
                              <w:rPr>
                                <w:lang w:val="en-US"/>
                              </w:rPr>
                            </w:pPr>
                            <w:r>
                              <w:rPr>
                                <w:rFonts w:hint="eastAsia"/>
                                <w:bCs/>
                                <w:lang w:val="en-US"/>
                              </w:rPr>
                              <w:t>Option 3: Implement analog filter (if feasible)</w:t>
                            </w:r>
                          </w:p>
                          <w:p w:rsidR="00D07D2A" w:rsidRDefault="005669FD">
                            <w:pPr>
                              <w:numPr>
                                <w:ilvl w:val="1"/>
                                <w:numId w:val="22"/>
                              </w:numPr>
                              <w:rPr>
                                <w:lang w:val="en-US"/>
                              </w:rPr>
                            </w:pPr>
                            <w:r>
                              <w:rPr>
                                <w:rFonts w:hint="eastAsia"/>
                                <w:bCs/>
                                <w:lang w:val="en-US"/>
                              </w:rPr>
                              <w:t>Option 4: Extend measurement BW (if the bottleneck is narrow spurious)</w:t>
                            </w:r>
                          </w:p>
                          <w:p w:rsidR="00D07D2A" w:rsidRDefault="005669FD">
                            <w:pPr>
                              <w:numPr>
                                <w:ilvl w:val="1"/>
                                <w:numId w:val="22"/>
                              </w:numPr>
                              <w:rPr>
                                <w:lang w:val="en-US"/>
                              </w:rPr>
                            </w:pPr>
                            <w:r>
                              <w:rPr>
                                <w:rFonts w:hint="eastAsia"/>
                                <w:bCs/>
                                <w:lang w:val="en-US"/>
                              </w:rPr>
                              <w:t>Option 5: Other</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dp3JAIAAEcEAAAOAAAAZHJzL2Uyb0RvYy54bWysU9tuEzEQfUfiHyy/k70oSZtVN1VJCUIq&#10;F6nlA2a93qyFb9hOdsPXM/amISrwgvCD5cv4+Mw5Mze3o5LkwJ0XRte0mOWUcM1MK/Supl+ftm+u&#10;KfEBdAvSaF7TI/f0dv361c1gK16a3siWO4Ig2leDrWkfgq2yzLOeK/AzY7nGy844BQG3bpe1DgZE&#10;VzIr83yZDca11hnGvcfT++mSrhN+13EWPned54HImiK3kGaX5ibO2foGqp0D2wt2ogH/wEKB0Pjp&#10;GeoeApC9E79BKcGc8aYLM2ZUZrpOMJ5ywGyK/EU2jz1YnnJBcbw9y+T/Hyz7dPjiiGhrWhZXlGhQ&#10;aNITHwN5a0ZSRn0G6ysMe7QYGEY8Rp9Trt4+GPbNE202Pegdv3PODD2HFvkV8WV28XTC8RGkGT6a&#10;Fr+BfTAJaOyciuKhHATR0afj2ZtIheHhssjzfFVQwvCumOfzZZncy6B6fm6dD++5USQuaurQ/AQP&#10;hwcfIh2onkPib95I0W6FlGnjds1GOnIALJRtGimDF2FSk6Gmq0W5mBT4KwSSxfEnCCUCVrwUqqbX&#10;5yCoom7vdJvqMYCQ0xopS30SMmo3qRjGZjwZ05j2iJI6M1U2diIueuN+UDJgVdfUf9+D45TIDxpt&#10;WRXzeWyDtJkvrlBD4i5vmssb0AyhahoomZabkFonCWbv0L6tSMJGnycmJ65YrUnvU2fFdrjcp6hf&#10;/b/+CQAA//8DAFBLAwQUAAYACAAAACEA6l+UG9sAAAAFAQAADwAAAGRycy9kb3ducmV2LnhtbEyP&#10;wU7DMBBE70j8g7VI3KjTSEQQsqkQVc+UgoS4OfY2jhqvQ+ymKV+P4QKXlUYzmnlbrWbXi4nG0HlG&#10;WC4yEMTam45bhLfXzc0diBAVG9V7JoQzBVjVlxeVKo0/8QtNu9iKVMKhVAg2xqGUMmhLToWFH4iT&#10;t/ejUzHJsZVmVKdU7nqZZ1khneo4LVg10JMlfdgdHUJYbz8Hvd82B2vOX8/r6Va/bz4Qr6/mxwcQ&#10;keb4F4Yf/IQOdWJq/JFNED1CeiT+3uTdF1kBokHI82UOsq7kf/r6GwAA//8DAFBLAQItABQABgAI&#10;AAAAIQC2gziS/gAAAOEBAAATAAAAAAAAAAAAAAAAAAAAAABbQ29udGVudF9UeXBlc10ueG1sUEsB&#10;Ai0AFAAGAAgAAAAhADj9If/WAAAAlAEAAAsAAAAAAAAAAAAAAAAALwEAAF9yZWxzLy5yZWxzUEsB&#10;Ai0AFAAGAAgAAAAhALPh2nckAgAARwQAAA4AAAAAAAAAAAAAAAAALgIAAGRycy9lMm9Eb2MueG1s&#10;UEsBAi0AFAAGAAgAAAAhAOpflBvbAAAABQEAAA8AAAAAAAAAAAAAAAAAfgQAAGRycy9kb3ducmV2&#10;LnhtbFBLBQYAAAAABAAEAPMAAACGBQAAAAA=&#10;">
                <v:textbox style="mso-fit-shape-to-text:t">
                  <w:txbxContent>
                    <w:p w:rsidR="00000000" w:rsidRPr="00CD5BEE" w:rsidRDefault="007C7E65" w:rsidP="00CD5BEE">
                      <w:pPr>
                        <w:numPr>
                          <w:ilvl w:val="0"/>
                          <w:numId w:val="22"/>
                        </w:numPr>
                        <w:rPr>
                          <w:lang w:val="en-US"/>
                        </w:rPr>
                      </w:pPr>
                      <w:r w:rsidRPr="00CD5BEE">
                        <w:rPr>
                          <w:rFonts w:hint="eastAsia"/>
                          <w:bCs/>
                          <w:lang w:val="en-US"/>
                        </w:rPr>
                        <w:t>It will be discussed how to specify NR general spurious emissions taking regions/countries where -30 dBm/MHz could be required in future into account in the next meeting.</w:t>
                      </w:r>
                    </w:p>
                    <w:p w:rsidR="00000000" w:rsidRPr="00CD5BEE" w:rsidRDefault="007C7E65" w:rsidP="00CD5BEE">
                      <w:pPr>
                        <w:numPr>
                          <w:ilvl w:val="0"/>
                          <w:numId w:val="22"/>
                        </w:numPr>
                        <w:rPr>
                          <w:lang w:val="en-US"/>
                        </w:rPr>
                      </w:pPr>
                      <w:r w:rsidRPr="00CD5BEE">
                        <w:rPr>
                          <w:rFonts w:hint="eastAsia"/>
                          <w:bCs/>
                          <w:lang w:val="en-US"/>
                        </w:rPr>
                        <w:t>Potential options are below.</w:t>
                      </w:r>
                    </w:p>
                    <w:p w:rsidR="00000000" w:rsidRPr="00CD5BEE" w:rsidRDefault="007C7E65" w:rsidP="00CD5BEE">
                      <w:pPr>
                        <w:numPr>
                          <w:ilvl w:val="1"/>
                          <w:numId w:val="22"/>
                        </w:numPr>
                        <w:rPr>
                          <w:lang w:val="en-US"/>
                        </w:rPr>
                      </w:pPr>
                      <w:r w:rsidRPr="00CD5BEE">
                        <w:rPr>
                          <w:rFonts w:hint="eastAsia"/>
                          <w:bCs/>
                          <w:lang w:val="en-US"/>
                        </w:rPr>
                        <w:t xml:space="preserve">Option </w:t>
                      </w:r>
                      <w:r w:rsidRPr="00CD5BEE">
                        <w:rPr>
                          <w:rFonts w:hint="eastAsia"/>
                          <w:bCs/>
                          <w:lang w:val="en-US"/>
                        </w:rPr>
                        <w:t>1: Harmonic exceptions (like the current UE-to-UE co-exist</w:t>
                      </w:r>
                      <w:r w:rsidRPr="00CD5BEE">
                        <w:rPr>
                          <w:rFonts w:hint="eastAsia"/>
                          <w:bCs/>
                          <w:lang w:val="en-US"/>
                        </w:rPr>
                        <w:t>ence requirement)</w:t>
                      </w:r>
                    </w:p>
                    <w:p w:rsidR="00000000" w:rsidRPr="00CD5BEE" w:rsidRDefault="007C7E65" w:rsidP="00CD5BEE">
                      <w:pPr>
                        <w:numPr>
                          <w:ilvl w:val="1"/>
                          <w:numId w:val="22"/>
                        </w:numPr>
                        <w:rPr>
                          <w:lang w:val="en-US"/>
                        </w:rPr>
                      </w:pPr>
                      <w:r w:rsidRPr="00CD5BEE">
                        <w:rPr>
                          <w:rFonts w:hint="eastAsia"/>
                          <w:bCs/>
                          <w:lang w:val="en-US"/>
                        </w:rPr>
                        <w:t>Option 2: A-MPR with NS signaling</w:t>
                      </w:r>
                    </w:p>
                    <w:p w:rsidR="00000000" w:rsidRPr="00CD5BEE" w:rsidRDefault="007C7E65" w:rsidP="00CD5BEE">
                      <w:pPr>
                        <w:numPr>
                          <w:ilvl w:val="1"/>
                          <w:numId w:val="22"/>
                        </w:numPr>
                        <w:rPr>
                          <w:lang w:val="en-US"/>
                        </w:rPr>
                      </w:pPr>
                      <w:r w:rsidRPr="00CD5BEE">
                        <w:rPr>
                          <w:rFonts w:hint="eastAsia"/>
                          <w:bCs/>
                          <w:lang w:val="en-US"/>
                        </w:rPr>
                        <w:t>Option 3: Implement analog filter (if feasible)</w:t>
                      </w:r>
                    </w:p>
                    <w:p w:rsidR="00000000" w:rsidRPr="00CD5BEE" w:rsidRDefault="007C7E65" w:rsidP="00CD5BEE">
                      <w:pPr>
                        <w:numPr>
                          <w:ilvl w:val="1"/>
                          <w:numId w:val="22"/>
                        </w:numPr>
                        <w:rPr>
                          <w:lang w:val="en-US"/>
                        </w:rPr>
                      </w:pPr>
                      <w:r w:rsidRPr="00CD5BEE">
                        <w:rPr>
                          <w:rFonts w:hint="eastAsia"/>
                          <w:bCs/>
                          <w:lang w:val="en-US"/>
                        </w:rPr>
                        <w:t>Option 4: Extend measurement BW (if the bottleneck is narrow spurious)</w:t>
                      </w:r>
                    </w:p>
                    <w:p w:rsidR="00CD5BEE" w:rsidRPr="00CD5BEE" w:rsidRDefault="007C7E65" w:rsidP="00CD5BEE">
                      <w:pPr>
                        <w:numPr>
                          <w:ilvl w:val="1"/>
                          <w:numId w:val="22"/>
                        </w:numPr>
                        <w:rPr>
                          <w:lang w:val="en-US"/>
                        </w:rPr>
                      </w:pPr>
                      <w:r w:rsidRPr="00CD5BEE">
                        <w:rPr>
                          <w:rFonts w:hint="eastAsia"/>
                          <w:bCs/>
                          <w:lang w:val="en-US"/>
                        </w:rPr>
                        <w:t xml:space="preserve">Option 5: </w:t>
                      </w:r>
                      <w:r w:rsidRPr="00CD5BEE">
                        <w:rPr>
                          <w:rFonts w:hint="eastAsia"/>
                          <w:bCs/>
                          <w:lang w:val="en-US"/>
                        </w:rPr>
                        <w:t>Other</w:t>
                      </w:r>
                    </w:p>
                  </w:txbxContent>
                </v:textbox>
                <w10:anchorlock/>
              </v:shape>
            </w:pict>
          </mc:Fallback>
        </mc:AlternateContent>
      </w:r>
    </w:p>
    <w:p w:rsidR="00D07D2A" w:rsidRDefault="00D07D2A">
      <w:pPr>
        <w:rPr>
          <w:rFonts w:ascii="Arial" w:hAnsi="Arial" w:cs="Arial"/>
        </w:rPr>
      </w:pPr>
    </w:p>
    <w:p w:rsidR="00D07D2A" w:rsidRDefault="005669FD">
      <w:pPr>
        <w:rPr>
          <w:rFonts w:ascii="Arial" w:hAnsi="Arial" w:cs="Arial"/>
        </w:rPr>
      </w:pPr>
      <w:r>
        <w:rPr>
          <w:rFonts w:ascii="Arial" w:hAnsi="Arial" w:cs="Arial"/>
        </w:rPr>
        <w:t>In this contribution, we provide our views on the topic.</w:t>
      </w:r>
    </w:p>
    <w:p w:rsidR="00D07D2A" w:rsidRDefault="005669FD">
      <w:pPr>
        <w:pStyle w:val="Heading1"/>
      </w:pPr>
      <w:r>
        <w:t>2</w:t>
      </w:r>
      <w:r>
        <w:tab/>
        <w:t>Discussion</w:t>
      </w:r>
    </w:p>
    <w:p w:rsidR="00D07D2A" w:rsidRDefault="005669FD" w:rsidP="005669FD">
      <w:pPr>
        <w:rPr>
          <w:rFonts w:ascii="Arial" w:hAnsi="Arial" w:cs="Arial"/>
        </w:rPr>
      </w:pPr>
      <w:r>
        <w:rPr>
          <w:rFonts w:ascii="Arial" w:hAnsi="Arial" w:cs="Arial"/>
        </w:rPr>
        <w:t xml:space="preserve">The regulatory requirements for unwanted emissions in the spurious domain for NR in the </w:t>
      </w:r>
      <w:proofErr w:type="spellStart"/>
      <w:r>
        <w:rPr>
          <w:rFonts w:ascii="Arial" w:hAnsi="Arial" w:cs="Arial"/>
        </w:rPr>
        <w:t>mmWave</w:t>
      </w:r>
      <w:proofErr w:type="spellEnd"/>
      <w:r>
        <w:rPr>
          <w:rFonts w:ascii="Arial" w:hAnsi="Arial" w:cs="Arial"/>
        </w:rPr>
        <w:t xml:space="preserve"> frequency range are currently under discussion in the relevant regulatory bodies</w:t>
      </w:r>
      <w:r w:rsidR="006F68B1">
        <w:rPr>
          <w:rFonts w:ascii="Arial" w:hAnsi="Arial" w:cs="Arial"/>
        </w:rPr>
        <w:t xml:space="preserve"> between </w:t>
      </w:r>
      <w:proofErr w:type="spellStart"/>
      <w:r w:rsidR="006F68B1">
        <w:rPr>
          <w:rFonts w:ascii="Arial" w:hAnsi="Arial" w:cs="Arial"/>
        </w:rPr>
        <w:t>ETSI</w:t>
      </w:r>
      <w:proofErr w:type="spellEnd"/>
      <w:r w:rsidR="006F68B1">
        <w:rPr>
          <w:rFonts w:ascii="Arial" w:hAnsi="Arial" w:cs="Arial"/>
        </w:rPr>
        <w:t xml:space="preserve"> and </w:t>
      </w:r>
      <w:proofErr w:type="spellStart"/>
      <w:r w:rsidR="006F68B1">
        <w:rPr>
          <w:rFonts w:ascii="Arial" w:hAnsi="Arial" w:cs="Arial"/>
        </w:rPr>
        <w:t>CEPT</w:t>
      </w:r>
      <w:proofErr w:type="spellEnd"/>
      <w:r>
        <w:rPr>
          <w:rFonts w:ascii="Arial" w:hAnsi="Arial" w:cs="Arial"/>
        </w:rPr>
        <w:t>.</w:t>
      </w:r>
    </w:p>
    <w:p w:rsidR="00D07D2A" w:rsidRDefault="00D07D2A">
      <w:pPr>
        <w:rPr>
          <w:rFonts w:ascii="Arial" w:hAnsi="Arial" w:cs="Arial"/>
        </w:rPr>
      </w:pPr>
    </w:p>
    <w:p w:rsidR="00D07D2A" w:rsidRDefault="005669FD">
      <w:pPr>
        <w:rPr>
          <w:rFonts w:ascii="Arial" w:hAnsi="Arial" w:cs="Arial"/>
        </w:rPr>
      </w:pPr>
      <w:r>
        <w:rPr>
          <w:rFonts w:ascii="Arial" w:hAnsi="Arial" w:cs="Arial"/>
        </w:rPr>
        <w:t xml:space="preserve">In the WF [1], several options were proposed to meet the ITU-R Category B requirement on spurious emissions. Because the -30 </w:t>
      </w:r>
      <w:proofErr w:type="spellStart"/>
      <w:r>
        <w:rPr>
          <w:rFonts w:ascii="Arial" w:hAnsi="Arial" w:cs="Arial"/>
        </w:rPr>
        <w:t>dBm</w:t>
      </w:r>
      <w:proofErr w:type="spellEnd"/>
      <w:r>
        <w:rPr>
          <w:rFonts w:ascii="Arial" w:hAnsi="Arial" w:cs="Arial"/>
        </w:rPr>
        <w:t xml:space="preserve">/MHz limit has not yet been approved by ETSI as the regulatory limit for NR, it may require additional discussion within the relevant regulatory bodies.  Thus, based on our understanding of the status of the regulatory requirement definition today, it may not be possible for 3GPP to define the spurious emissions requirement for NR until the regulatory requirement is specified, but even further study would be necessary from </w:t>
      </w:r>
      <w:proofErr w:type="spellStart"/>
      <w:r>
        <w:rPr>
          <w:rFonts w:ascii="Arial" w:hAnsi="Arial" w:cs="Arial"/>
        </w:rPr>
        <w:t>3GPP</w:t>
      </w:r>
      <w:proofErr w:type="spellEnd"/>
      <w:r>
        <w:rPr>
          <w:rFonts w:ascii="Arial" w:hAnsi="Arial" w:cs="Arial"/>
        </w:rPr>
        <w:t xml:space="preserve"> perspective.</w:t>
      </w:r>
    </w:p>
    <w:p w:rsidR="00D07D2A" w:rsidRDefault="00D07D2A">
      <w:pPr>
        <w:rPr>
          <w:rFonts w:ascii="Arial" w:hAnsi="Arial" w:cs="Arial"/>
        </w:rPr>
      </w:pPr>
    </w:p>
    <w:p w:rsidR="00D07D2A" w:rsidRDefault="005669FD">
      <w:pPr>
        <w:rPr>
          <w:rFonts w:ascii="Arial" w:hAnsi="Arial" w:cs="Arial"/>
        </w:rPr>
      </w:pPr>
      <w:r>
        <w:rPr>
          <w:rFonts w:ascii="Arial" w:hAnsi="Arial" w:cs="Arial"/>
        </w:rPr>
        <w:t xml:space="preserve">The ITU-R SM.329-12 recommendation provides the lower and upper limits for comprehensive range of frequencies. Among them, 13 GHz – 150 GHz range will be the primary interest of </w:t>
      </w:r>
      <w:proofErr w:type="spellStart"/>
      <w:r>
        <w:rPr>
          <w:rFonts w:ascii="Arial" w:hAnsi="Arial" w:cs="Arial"/>
        </w:rPr>
        <w:t>3GPP</w:t>
      </w:r>
      <w:proofErr w:type="spellEnd"/>
      <w:r>
        <w:rPr>
          <w:rFonts w:ascii="Arial" w:hAnsi="Arial" w:cs="Arial"/>
        </w:rPr>
        <w:t xml:space="preserve"> </w:t>
      </w:r>
      <w:proofErr w:type="spellStart"/>
      <w:r>
        <w:rPr>
          <w:rFonts w:ascii="Arial" w:hAnsi="Arial" w:cs="Arial"/>
        </w:rPr>
        <w:t>RAN4</w:t>
      </w:r>
      <w:proofErr w:type="spellEnd"/>
      <w:r>
        <w:rPr>
          <w:rFonts w:ascii="Arial" w:hAnsi="Arial" w:cs="Arial"/>
        </w:rPr>
        <w:t xml:space="preserve"> </w:t>
      </w:r>
      <w:proofErr w:type="spellStart"/>
      <w:r>
        <w:rPr>
          <w:rFonts w:ascii="Arial" w:hAnsi="Arial" w:cs="Arial"/>
        </w:rPr>
        <w:t>mmWave</w:t>
      </w:r>
      <w:proofErr w:type="spellEnd"/>
      <w:r>
        <w:rPr>
          <w:rFonts w:ascii="Arial" w:hAnsi="Arial" w:cs="Arial"/>
        </w:rPr>
        <w:t xml:space="preserve"> spurious emissions discussion. </w:t>
      </w:r>
    </w:p>
    <w:p w:rsidR="00D07D2A" w:rsidRDefault="005669FD">
      <w:pPr>
        <w:rPr>
          <w:rFonts w:ascii="Arial" w:hAnsi="Arial" w:cs="Arial"/>
        </w:rPr>
      </w:pPr>
      <w:r>
        <w:rPr>
          <w:rFonts w:ascii="Arial" w:hAnsi="Arial" w:cs="Arial"/>
        </w:rPr>
        <w:t>Table 1 is captured from the ITU-R SM.329-12 recommendation [2]. From the table, frequency range for measurements are clearly defined and the upper limit should be up to 2</w:t>
      </w:r>
      <w:r>
        <w:rPr>
          <w:rFonts w:ascii="Arial" w:hAnsi="Arial" w:cs="Arial"/>
          <w:vertAlign w:val="superscript"/>
        </w:rPr>
        <w:t>nd</w:t>
      </w:r>
      <w:r>
        <w:rPr>
          <w:rFonts w:ascii="Arial" w:hAnsi="Arial" w:cs="Arial"/>
        </w:rPr>
        <w:t xml:space="preserve"> harmonic. The recommendation explicitly mentions “</w:t>
      </w:r>
      <w:r>
        <w:rPr>
          <w:rFonts w:ascii="Arial" w:hAnsi="Arial" w:cs="Arial"/>
          <w:b/>
          <w:i/>
        </w:rPr>
        <w:t>the test should include the entire harmonic band and not be truncated at the precise upper frequency limit stated</w:t>
      </w:r>
      <w:r>
        <w:rPr>
          <w:rFonts w:ascii="Arial" w:hAnsi="Arial" w:cs="Arial"/>
        </w:rPr>
        <w:t>”. Our understanding of this statement is that it may not be possible to give an exception on the harmonic unless the relevant regulatory requirement is defined in such a way. Thus Option 1 should be precluded from the possible options.</w:t>
      </w:r>
    </w:p>
    <w:p w:rsidR="00D07D2A" w:rsidRDefault="00D07D2A">
      <w:pPr>
        <w:rPr>
          <w:rFonts w:ascii="Arial" w:hAnsi="Arial" w:cs="Arial"/>
        </w:rPr>
      </w:pPr>
    </w:p>
    <w:p w:rsidR="00D07D2A" w:rsidRDefault="005669FD">
      <w:pPr>
        <w:jc w:val="center"/>
        <w:rPr>
          <w:rFonts w:ascii="Arial" w:hAnsi="Arial" w:cs="Arial"/>
        </w:rPr>
      </w:pPr>
      <w:r>
        <w:rPr>
          <w:noProof/>
          <w:lang w:val="en-US" w:eastAsia="ko-KR"/>
        </w:rPr>
        <w:drawing>
          <wp:inline distT="0" distB="0" distL="0" distR="0">
            <wp:extent cx="3732663" cy="1942733"/>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732663" cy="1942733"/>
                    </a:xfrm>
                    <a:prstGeom prst="rect">
                      <a:avLst/>
                    </a:prstGeom>
                  </pic:spPr>
                </pic:pic>
              </a:graphicData>
            </a:graphic>
          </wp:inline>
        </w:drawing>
      </w:r>
    </w:p>
    <w:p w:rsidR="00D07D2A" w:rsidRDefault="005669FD">
      <w:pPr>
        <w:jc w:val="center"/>
        <w:rPr>
          <w:rFonts w:ascii="Arial" w:hAnsi="Arial" w:cs="Arial"/>
        </w:rPr>
      </w:pPr>
      <w:r>
        <w:rPr>
          <w:rFonts w:ascii="Arial" w:hAnsi="Arial" w:cs="Arial"/>
        </w:rPr>
        <w:t>Table 1. Frequency range for measurement of unwanted emissions</w:t>
      </w:r>
    </w:p>
    <w:p w:rsidR="005669FD" w:rsidRDefault="005669FD">
      <w:pPr>
        <w:rPr>
          <w:rFonts w:ascii="Arial" w:hAnsi="Arial" w:cs="Arial"/>
        </w:rPr>
      </w:pPr>
    </w:p>
    <w:p w:rsidR="00D07D2A" w:rsidRDefault="005669FD">
      <w:pPr>
        <w:rPr>
          <w:rFonts w:ascii="Arial" w:hAnsi="Arial" w:cs="Arial"/>
          <w:i/>
        </w:rPr>
      </w:pPr>
      <w:r>
        <w:rPr>
          <w:rFonts w:ascii="Arial" w:hAnsi="Arial" w:cs="Arial"/>
          <w:b/>
          <w:i/>
        </w:rPr>
        <w:t>Observation 1</w:t>
      </w:r>
      <w:r>
        <w:rPr>
          <w:rFonts w:ascii="Arial" w:hAnsi="Arial" w:cs="Arial"/>
          <w:i/>
        </w:rPr>
        <w:t>: If a regulatory requirement states that the entire harmonic band should be tested for the spurious emissions measurement, then Option 1 should be precluded.</w:t>
      </w:r>
    </w:p>
    <w:p w:rsidR="00D07D2A" w:rsidRDefault="00D07D2A">
      <w:pPr>
        <w:rPr>
          <w:rFonts w:ascii="Arial" w:hAnsi="Arial" w:cs="Arial"/>
        </w:rPr>
      </w:pPr>
    </w:p>
    <w:p w:rsidR="005669FD" w:rsidRDefault="005669FD">
      <w:pPr>
        <w:rPr>
          <w:rFonts w:ascii="Arial" w:hAnsi="Arial" w:cs="Arial"/>
        </w:rPr>
      </w:pPr>
    </w:p>
    <w:p w:rsidR="00D07D2A" w:rsidRDefault="005669FD">
      <w:pPr>
        <w:rPr>
          <w:rFonts w:ascii="Arial" w:hAnsi="Arial" w:cs="Arial"/>
        </w:rPr>
      </w:pPr>
      <w:r>
        <w:rPr>
          <w:rFonts w:ascii="Arial" w:hAnsi="Arial" w:cs="Arial"/>
        </w:rPr>
        <w:t>The ITU-R recommendation also recommends the following reference bandwidths for each of frequency ranges –</w:t>
      </w:r>
    </w:p>
    <w:p w:rsidR="00D07D2A" w:rsidRDefault="00D07D2A">
      <w:pPr>
        <w:rPr>
          <w:rFonts w:ascii="Arial" w:hAnsi="Arial" w:cs="Arial"/>
        </w:rPr>
      </w:pPr>
    </w:p>
    <w:p w:rsidR="00D07D2A" w:rsidRDefault="005669FD">
      <w:pPr>
        <w:pStyle w:val="ListParagraph"/>
        <w:numPr>
          <w:ilvl w:val="0"/>
          <w:numId w:val="21"/>
        </w:numPr>
        <w:rPr>
          <w:rFonts w:ascii="Arial" w:hAnsi="Arial" w:cs="Arial"/>
        </w:rPr>
      </w:pPr>
      <w:r>
        <w:rPr>
          <w:rFonts w:ascii="Arial" w:hAnsi="Arial" w:cs="Arial"/>
        </w:rPr>
        <w:t>1 kHz between 9 and 150 kHz,</w:t>
      </w:r>
    </w:p>
    <w:p w:rsidR="00D07D2A" w:rsidRDefault="005669FD">
      <w:pPr>
        <w:pStyle w:val="ListParagraph"/>
        <w:numPr>
          <w:ilvl w:val="0"/>
          <w:numId w:val="21"/>
        </w:numPr>
        <w:rPr>
          <w:rFonts w:ascii="Arial" w:hAnsi="Arial" w:cs="Arial"/>
        </w:rPr>
      </w:pPr>
      <w:r>
        <w:rPr>
          <w:rFonts w:ascii="Arial" w:hAnsi="Arial" w:cs="Arial"/>
        </w:rPr>
        <w:t>10 kHz between 150 kHz and 30 MHz,</w:t>
      </w:r>
    </w:p>
    <w:p w:rsidR="00D07D2A" w:rsidRDefault="005669FD">
      <w:pPr>
        <w:pStyle w:val="ListParagraph"/>
        <w:numPr>
          <w:ilvl w:val="0"/>
          <w:numId w:val="21"/>
        </w:numPr>
        <w:rPr>
          <w:rFonts w:ascii="Arial" w:hAnsi="Arial" w:cs="Arial"/>
        </w:rPr>
      </w:pPr>
      <w:r>
        <w:rPr>
          <w:rFonts w:ascii="Arial" w:hAnsi="Arial" w:cs="Arial"/>
        </w:rPr>
        <w:t>100 kHz between 30 MHz and 1 GHz,</w:t>
      </w:r>
    </w:p>
    <w:p w:rsidR="00D07D2A" w:rsidRDefault="005669FD">
      <w:pPr>
        <w:pStyle w:val="ListParagraph"/>
        <w:numPr>
          <w:ilvl w:val="0"/>
          <w:numId w:val="21"/>
        </w:numPr>
        <w:rPr>
          <w:rFonts w:ascii="Arial" w:hAnsi="Arial" w:cs="Arial"/>
        </w:rPr>
      </w:pPr>
      <w:r>
        <w:rPr>
          <w:rFonts w:ascii="Arial" w:hAnsi="Arial" w:cs="Arial"/>
        </w:rPr>
        <w:t>1 MHz above 1 GHz.</w:t>
      </w:r>
    </w:p>
    <w:p w:rsidR="006F68B1" w:rsidRDefault="006F68B1" w:rsidP="004535CD">
      <w:pPr>
        <w:rPr>
          <w:rFonts w:ascii="Arial" w:hAnsi="Arial" w:cs="Arial"/>
        </w:rPr>
      </w:pPr>
    </w:p>
    <w:p w:rsidR="00D07D2A" w:rsidRDefault="006F68B1">
      <w:pPr>
        <w:rPr>
          <w:rFonts w:ascii="Arial" w:hAnsi="Arial" w:cs="Arial"/>
        </w:rPr>
      </w:pPr>
      <w:r>
        <w:rPr>
          <w:rFonts w:ascii="Arial" w:hAnsi="Arial" w:cs="Arial"/>
        </w:rPr>
        <w:t xml:space="preserve">Based on a draft version of the liaison statement from WP5D [4], it will be necessary for 3GPP to study whether larger reference bandwidths would be feasible for beyond 1 GHz range and </w:t>
      </w:r>
      <w:r w:rsidR="005669FD">
        <w:rPr>
          <w:rFonts w:ascii="Arial" w:hAnsi="Arial" w:cs="Arial"/>
        </w:rPr>
        <w:t xml:space="preserve">evaluate the larger bandwidths would </w:t>
      </w:r>
      <w:r>
        <w:rPr>
          <w:rFonts w:ascii="Arial" w:hAnsi="Arial" w:cs="Arial"/>
        </w:rPr>
        <w:t xml:space="preserve">help </w:t>
      </w:r>
      <w:r w:rsidR="005669FD">
        <w:rPr>
          <w:rFonts w:ascii="Arial" w:hAnsi="Arial" w:cs="Arial"/>
        </w:rPr>
        <w:t xml:space="preserve">to </w:t>
      </w:r>
      <w:r>
        <w:rPr>
          <w:rFonts w:ascii="Arial" w:hAnsi="Arial" w:cs="Arial"/>
        </w:rPr>
        <w:t xml:space="preserve">address </w:t>
      </w:r>
      <w:r w:rsidR="005669FD">
        <w:rPr>
          <w:rFonts w:ascii="Arial" w:hAnsi="Arial" w:cs="Arial"/>
        </w:rPr>
        <w:t>the</w:t>
      </w:r>
      <w:r>
        <w:rPr>
          <w:rFonts w:ascii="Arial" w:hAnsi="Arial" w:cs="Arial"/>
        </w:rPr>
        <w:t xml:space="preserve"> issue instead of applying a single 1 MHz bandwidth for entire frequency range larger than 1 GHz.</w:t>
      </w:r>
    </w:p>
    <w:p w:rsidR="00D07D2A" w:rsidRDefault="00D07D2A">
      <w:pPr>
        <w:rPr>
          <w:rFonts w:ascii="Arial" w:hAnsi="Arial" w:cs="Arial"/>
        </w:rPr>
      </w:pPr>
    </w:p>
    <w:p w:rsidR="00D07D2A" w:rsidRDefault="005669FD">
      <w:pPr>
        <w:rPr>
          <w:rFonts w:ascii="Arial" w:hAnsi="Arial" w:cs="Arial"/>
        </w:rPr>
      </w:pPr>
      <w:r>
        <w:rPr>
          <w:rFonts w:ascii="Arial" w:hAnsi="Arial" w:cs="Arial"/>
        </w:rPr>
        <w:t>Such recommendations, if confirmed as regulatory requirements or if modified and then confirmed, are expected to define the reference bandwidth, and the corresponding 3GPP requirement should be aligned.</w:t>
      </w:r>
    </w:p>
    <w:p w:rsidR="005669FD" w:rsidRDefault="005669FD">
      <w:pPr>
        <w:rPr>
          <w:rFonts w:ascii="Arial" w:hAnsi="Arial" w:cs="Arial"/>
        </w:rPr>
      </w:pPr>
    </w:p>
    <w:p w:rsidR="00D07D2A" w:rsidRDefault="005669FD">
      <w:pPr>
        <w:rPr>
          <w:rFonts w:ascii="Arial" w:hAnsi="Arial" w:cs="Arial"/>
          <w:i/>
        </w:rPr>
      </w:pPr>
      <w:r>
        <w:rPr>
          <w:rFonts w:ascii="Arial" w:hAnsi="Arial" w:cs="Arial"/>
          <w:b/>
          <w:i/>
        </w:rPr>
        <w:t>Observation 2</w:t>
      </w:r>
      <w:r>
        <w:rPr>
          <w:rFonts w:ascii="Arial" w:hAnsi="Arial" w:cs="Arial"/>
          <w:i/>
        </w:rPr>
        <w:t>: If a regulatory requirement defines the reference bandwidths for each of frequency ranges for the measurements, then the RAN4 requirement should be aligned with this definition. Thus, Option 4 should be precluded if it is not aligned with the regulatory requirement.</w:t>
      </w:r>
    </w:p>
    <w:p w:rsidR="00D07D2A" w:rsidRDefault="00D07D2A">
      <w:pPr>
        <w:rPr>
          <w:rFonts w:ascii="Arial" w:hAnsi="Arial" w:cs="Arial"/>
        </w:rPr>
      </w:pPr>
    </w:p>
    <w:p w:rsidR="00D07D2A" w:rsidRDefault="005669FD">
      <w:pPr>
        <w:rPr>
          <w:rFonts w:ascii="Arial" w:hAnsi="Arial" w:cs="Arial"/>
          <w:i/>
        </w:rPr>
      </w:pPr>
      <w:r>
        <w:rPr>
          <w:rFonts w:ascii="Arial" w:hAnsi="Arial" w:cs="Arial"/>
          <w:b/>
          <w:i/>
        </w:rPr>
        <w:t>Observation 3</w:t>
      </w:r>
      <w:r>
        <w:rPr>
          <w:rFonts w:ascii="Arial" w:hAnsi="Arial" w:cs="Arial"/>
          <w:i/>
        </w:rPr>
        <w:t>: From the testability perspective, measurement techniques, such as the optimization of resolution bandwidth to reduce the overall test time should not be precluded from consideration.</w:t>
      </w:r>
    </w:p>
    <w:p w:rsidR="00D07D2A" w:rsidRDefault="00D07D2A">
      <w:pPr>
        <w:rPr>
          <w:rFonts w:ascii="Arial" w:hAnsi="Arial" w:cs="Arial"/>
        </w:rPr>
      </w:pPr>
    </w:p>
    <w:p w:rsidR="005669FD" w:rsidRDefault="005669FD">
      <w:pPr>
        <w:rPr>
          <w:rFonts w:ascii="Arial" w:hAnsi="Arial" w:cs="Arial"/>
        </w:rPr>
      </w:pPr>
    </w:p>
    <w:p w:rsidR="00D07D2A" w:rsidRDefault="005669FD">
      <w:pPr>
        <w:rPr>
          <w:rFonts w:ascii="Arial" w:hAnsi="Arial" w:cs="Arial"/>
        </w:rPr>
      </w:pPr>
      <w:r>
        <w:rPr>
          <w:rFonts w:ascii="Arial" w:hAnsi="Arial" w:cs="Arial"/>
        </w:rPr>
        <w:t>On Option 3, we understand this is up to companies’ implementation choice and should not be specified as a standard document.</w:t>
      </w:r>
    </w:p>
    <w:p w:rsidR="00D07D2A" w:rsidRDefault="00D07D2A">
      <w:pPr>
        <w:rPr>
          <w:rFonts w:ascii="Arial" w:hAnsi="Arial" w:cs="Arial"/>
        </w:rPr>
      </w:pPr>
    </w:p>
    <w:p w:rsidR="00D07D2A" w:rsidRDefault="005669FD">
      <w:pPr>
        <w:rPr>
          <w:rFonts w:ascii="Arial" w:hAnsi="Arial" w:cs="Arial"/>
          <w:i/>
        </w:rPr>
      </w:pPr>
      <w:r>
        <w:rPr>
          <w:rFonts w:ascii="Arial" w:hAnsi="Arial" w:cs="Arial"/>
          <w:b/>
          <w:i/>
        </w:rPr>
        <w:t>Observation 4</w:t>
      </w:r>
      <w:r>
        <w:rPr>
          <w:rFonts w:ascii="Arial" w:hAnsi="Arial" w:cs="Arial"/>
          <w:i/>
        </w:rPr>
        <w:t>: Option 3 is an implementation choice and should be precluded as a possible option for the specification.</w:t>
      </w:r>
    </w:p>
    <w:p w:rsidR="00D07D2A" w:rsidRDefault="00D07D2A">
      <w:pPr>
        <w:rPr>
          <w:rFonts w:ascii="Arial" w:hAnsi="Arial" w:cs="Arial"/>
        </w:rPr>
      </w:pPr>
    </w:p>
    <w:p w:rsidR="005669FD" w:rsidRDefault="005669FD">
      <w:pPr>
        <w:rPr>
          <w:rFonts w:ascii="Arial" w:hAnsi="Arial" w:cs="Arial"/>
        </w:rPr>
      </w:pPr>
    </w:p>
    <w:p w:rsidR="00D07D2A" w:rsidRDefault="005669FD">
      <w:pPr>
        <w:rPr>
          <w:rFonts w:ascii="Arial" w:hAnsi="Arial" w:cs="Arial"/>
        </w:rPr>
      </w:pPr>
      <w:r>
        <w:rPr>
          <w:rFonts w:ascii="Arial" w:hAnsi="Arial" w:cs="Arial"/>
        </w:rPr>
        <w:t xml:space="preserve">The remaining option is Option 2, introducing A-MPR with NS signalling. Before addressing this aspect, we return to the issue of the limit definition in the regulatory requirements. After further investigating the history of the -30 </w:t>
      </w:r>
      <w:proofErr w:type="spellStart"/>
      <w:r>
        <w:rPr>
          <w:rFonts w:ascii="Arial" w:hAnsi="Arial" w:cs="Arial"/>
        </w:rPr>
        <w:t>dBm</w:t>
      </w:r>
      <w:proofErr w:type="spellEnd"/>
      <w:r>
        <w:rPr>
          <w:rFonts w:ascii="Arial" w:hAnsi="Arial" w:cs="Arial"/>
        </w:rPr>
        <w:t xml:space="preserve">/MHz limit, it was determined that it was first included in the 1997 version of </w:t>
      </w:r>
      <w:proofErr w:type="spellStart"/>
      <w:r>
        <w:rPr>
          <w:rFonts w:ascii="Arial" w:hAnsi="Arial" w:cs="Arial"/>
        </w:rPr>
        <w:t>ERC</w:t>
      </w:r>
      <w:proofErr w:type="spellEnd"/>
      <w:r>
        <w:rPr>
          <w:rFonts w:ascii="Arial" w:hAnsi="Arial" w:cs="Arial"/>
        </w:rPr>
        <w:t xml:space="preserve"> recommendation 74-01 </w:t>
      </w:r>
      <w:r>
        <w:rPr>
          <w:rFonts w:ascii="Arial" w:hAnsi="Arial" w:cs="Arial"/>
        </w:rPr>
        <w:fldChar w:fldCharType="begin"/>
      </w:r>
      <w:r>
        <w:rPr>
          <w:rFonts w:ascii="Arial" w:hAnsi="Arial" w:cs="Arial"/>
        </w:rPr>
        <w:instrText xml:space="preserve"> REF _Ref485624210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This limit was established given the spectrum usage and interference scenarios for the available technologies at that time.  It is feasible to suspect that the applicability of the same limit to NR may not be valid.</w:t>
      </w:r>
    </w:p>
    <w:p w:rsidR="00D07D2A" w:rsidRDefault="00D07D2A">
      <w:pPr>
        <w:rPr>
          <w:rFonts w:ascii="Arial" w:hAnsi="Arial" w:cs="Arial"/>
        </w:rPr>
      </w:pPr>
    </w:p>
    <w:p w:rsidR="00D07D2A" w:rsidRDefault="005669FD">
      <w:pPr>
        <w:rPr>
          <w:rFonts w:ascii="Arial" w:hAnsi="Arial" w:cs="Arial"/>
          <w:i/>
        </w:rPr>
      </w:pPr>
      <w:r>
        <w:rPr>
          <w:rFonts w:ascii="Arial" w:hAnsi="Arial" w:cs="Arial"/>
          <w:b/>
          <w:i/>
        </w:rPr>
        <w:t>Observation 5</w:t>
      </w:r>
      <w:r>
        <w:rPr>
          <w:rFonts w:ascii="Arial" w:hAnsi="Arial" w:cs="Arial"/>
          <w:i/>
        </w:rPr>
        <w:t xml:space="preserve">: From the perspective of technology evolution, the -30 </w:t>
      </w:r>
      <w:proofErr w:type="spellStart"/>
      <w:r>
        <w:rPr>
          <w:rFonts w:ascii="Arial" w:hAnsi="Arial" w:cs="Arial"/>
          <w:i/>
        </w:rPr>
        <w:t>dBm</w:t>
      </w:r>
      <w:proofErr w:type="spellEnd"/>
      <w:r>
        <w:rPr>
          <w:rFonts w:ascii="Arial" w:hAnsi="Arial" w:cs="Arial"/>
          <w:i/>
        </w:rPr>
        <w:t>/MHz limit may be undergoing re-evaluation by the relevant regulatory bodies</w:t>
      </w:r>
      <w:r w:rsidR="006F68B1">
        <w:rPr>
          <w:rFonts w:ascii="Arial" w:hAnsi="Arial" w:cs="Arial"/>
          <w:i/>
        </w:rPr>
        <w:t xml:space="preserve"> and we should understand the limit before finalizing the </w:t>
      </w:r>
      <w:proofErr w:type="spellStart"/>
      <w:r w:rsidR="006F68B1">
        <w:rPr>
          <w:rFonts w:ascii="Arial" w:hAnsi="Arial" w:cs="Arial"/>
          <w:i/>
        </w:rPr>
        <w:t>3GPP</w:t>
      </w:r>
      <w:proofErr w:type="spellEnd"/>
      <w:r w:rsidR="006F68B1">
        <w:rPr>
          <w:rFonts w:ascii="Arial" w:hAnsi="Arial" w:cs="Arial"/>
          <w:i/>
        </w:rPr>
        <w:t xml:space="preserve"> requirement.</w:t>
      </w:r>
    </w:p>
    <w:p w:rsidR="005669FD" w:rsidRDefault="005669FD">
      <w:pPr>
        <w:rPr>
          <w:rFonts w:ascii="Arial" w:hAnsi="Arial" w:cs="Arial"/>
        </w:rPr>
      </w:pPr>
    </w:p>
    <w:p w:rsidR="00D07D2A" w:rsidRDefault="00D07D2A">
      <w:pPr>
        <w:rPr>
          <w:rFonts w:ascii="Arial" w:hAnsi="Arial" w:cs="Arial"/>
        </w:rPr>
      </w:pPr>
    </w:p>
    <w:p w:rsidR="00D07D2A" w:rsidRDefault="005669FD">
      <w:pPr>
        <w:rPr>
          <w:rFonts w:ascii="Arial" w:hAnsi="Arial" w:cs="Arial"/>
        </w:rPr>
      </w:pPr>
      <w:r>
        <w:rPr>
          <w:rFonts w:ascii="Arial" w:hAnsi="Arial" w:cs="Arial"/>
        </w:rPr>
        <w:t>From the testability perspective, the limit itself should be testable by the technology available in the test equipment under the constraints of an OTA test.  Aspects such as test receiver noise figure, OTA chamber measurement link budget, and overall noise floor of the measurements may also have an impact on the decision on this limit by the relevant regulatory bodies.</w:t>
      </w:r>
    </w:p>
    <w:p w:rsidR="00D07D2A" w:rsidRDefault="00D07D2A">
      <w:pPr>
        <w:rPr>
          <w:rFonts w:ascii="Arial" w:hAnsi="Arial" w:cs="Arial"/>
        </w:rPr>
      </w:pPr>
    </w:p>
    <w:p w:rsidR="00D07D2A" w:rsidRDefault="005669FD">
      <w:pPr>
        <w:rPr>
          <w:rFonts w:ascii="Arial" w:hAnsi="Arial" w:cs="Arial"/>
          <w:i/>
        </w:rPr>
      </w:pPr>
      <w:r>
        <w:rPr>
          <w:rFonts w:ascii="Arial" w:hAnsi="Arial" w:cs="Arial"/>
          <w:b/>
          <w:i/>
        </w:rPr>
        <w:t>Observation 6</w:t>
      </w:r>
      <w:r>
        <w:rPr>
          <w:rFonts w:ascii="Arial" w:hAnsi="Arial" w:cs="Arial"/>
          <w:i/>
        </w:rPr>
        <w:t>: It is understood that the relevant regulatory bodies may consider the testability of the limit as another aspect in its definition.</w:t>
      </w:r>
    </w:p>
    <w:p w:rsidR="00D07D2A" w:rsidRDefault="00D07D2A">
      <w:pPr>
        <w:rPr>
          <w:rFonts w:ascii="Arial" w:hAnsi="Arial" w:cs="Arial"/>
        </w:rPr>
      </w:pPr>
    </w:p>
    <w:p w:rsidR="005669FD" w:rsidRDefault="005669FD">
      <w:pPr>
        <w:rPr>
          <w:rFonts w:ascii="Arial" w:hAnsi="Arial" w:cs="Arial"/>
        </w:rPr>
      </w:pPr>
    </w:p>
    <w:p w:rsidR="00D07D2A" w:rsidRDefault="005669FD">
      <w:pPr>
        <w:rPr>
          <w:rFonts w:ascii="Arial" w:hAnsi="Arial" w:cs="Arial"/>
        </w:rPr>
      </w:pPr>
      <w:r>
        <w:rPr>
          <w:rFonts w:ascii="Arial" w:hAnsi="Arial" w:cs="Arial"/>
        </w:rPr>
        <w:t>Given these observations, our input can be summarized in the following:</w:t>
      </w:r>
    </w:p>
    <w:p w:rsidR="00D07D2A" w:rsidRDefault="00D07D2A">
      <w:pPr>
        <w:rPr>
          <w:rFonts w:ascii="Arial" w:hAnsi="Arial" w:cs="Arial"/>
        </w:rPr>
      </w:pPr>
    </w:p>
    <w:p w:rsidR="00D07D2A" w:rsidRDefault="005669FD">
      <w:pPr>
        <w:rPr>
          <w:rFonts w:ascii="Arial" w:hAnsi="Arial" w:cs="Arial"/>
          <w:i/>
        </w:rPr>
      </w:pPr>
      <w:r>
        <w:rPr>
          <w:rFonts w:ascii="Arial" w:hAnsi="Arial" w:cs="Arial"/>
          <w:b/>
          <w:i/>
        </w:rPr>
        <w:t>Proposal 1</w:t>
      </w:r>
      <w:r>
        <w:rPr>
          <w:rFonts w:ascii="Arial" w:hAnsi="Arial" w:cs="Arial"/>
          <w:i/>
        </w:rPr>
        <w:t>: Because the requirement on unwanted emissions in the spurious domain is still undergoing discussions in the relevant regulatory bodies,</w:t>
      </w:r>
      <w:r w:rsidR="006F68B1">
        <w:rPr>
          <w:rFonts w:ascii="Arial" w:hAnsi="Arial" w:cs="Arial"/>
          <w:i/>
        </w:rPr>
        <w:t xml:space="preserve"> and 3GPP expects an LS incoming from ITU-R WP5D, which we can use to structure further discussion. Until then</w:t>
      </w:r>
      <w:r>
        <w:rPr>
          <w:rFonts w:ascii="Arial" w:hAnsi="Arial" w:cs="Arial"/>
          <w:i/>
        </w:rPr>
        <w:t xml:space="preserve"> it may not be possible for 3GPP to finalize this requirement in the </w:t>
      </w:r>
      <w:proofErr w:type="spellStart"/>
      <w:r>
        <w:rPr>
          <w:rFonts w:ascii="Arial" w:hAnsi="Arial" w:cs="Arial"/>
          <w:i/>
        </w:rPr>
        <w:t>RAN4</w:t>
      </w:r>
      <w:proofErr w:type="spellEnd"/>
      <w:r>
        <w:rPr>
          <w:rFonts w:ascii="Arial" w:hAnsi="Arial" w:cs="Arial"/>
          <w:i/>
        </w:rPr>
        <w:t xml:space="preserve"> specification</w:t>
      </w:r>
      <w:r w:rsidR="006F68B1">
        <w:rPr>
          <w:rFonts w:ascii="Arial" w:hAnsi="Arial" w:cs="Arial"/>
          <w:i/>
        </w:rPr>
        <w:t>.</w:t>
      </w:r>
    </w:p>
    <w:p w:rsidR="00D07D2A" w:rsidRDefault="00D07D2A">
      <w:pPr>
        <w:rPr>
          <w:rFonts w:ascii="Arial" w:hAnsi="Arial" w:cs="Arial"/>
        </w:rPr>
      </w:pPr>
    </w:p>
    <w:p w:rsidR="00D07D2A" w:rsidRDefault="005669FD">
      <w:pPr>
        <w:pStyle w:val="Heading1"/>
      </w:pPr>
      <w:r>
        <w:t>3</w:t>
      </w:r>
      <w:r>
        <w:tab/>
        <w:t>Conclusions</w:t>
      </w:r>
    </w:p>
    <w:p w:rsidR="00D07D2A" w:rsidRDefault="005669FD">
      <w:pPr>
        <w:rPr>
          <w:rFonts w:ascii="Arial" w:hAnsi="Arial" w:cs="Arial"/>
        </w:rPr>
      </w:pPr>
      <w:r>
        <w:rPr>
          <w:rFonts w:ascii="Arial" w:hAnsi="Arial" w:cs="Arial"/>
        </w:rPr>
        <w:t>In this document, we evaluated the candidate options in [1] and made the following observations and proposal.</w:t>
      </w:r>
    </w:p>
    <w:p w:rsidR="00186ED0" w:rsidRDefault="00186ED0">
      <w:pPr>
        <w:rPr>
          <w:rFonts w:ascii="Arial" w:hAnsi="Arial" w:cs="Arial"/>
        </w:rPr>
      </w:pPr>
    </w:p>
    <w:p w:rsidR="00D07D2A" w:rsidRDefault="00186ED0">
      <w:pPr>
        <w:rPr>
          <w:rFonts w:ascii="Arial" w:hAnsi="Arial" w:cs="Arial"/>
          <w:i/>
        </w:rPr>
      </w:pPr>
      <w:r>
        <w:rPr>
          <w:rFonts w:ascii="Arial" w:hAnsi="Arial" w:cs="Arial"/>
          <w:b/>
          <w:i/>
        </w:rPr>
        <w:t>Observation 1</w:t>
      </w:r>
      <w:r>
        <w:rPr>
          <w:rFonts w:ascii="Arial" w:hAnsi="Arial" w:cs="Arial"/>
          <w:i/>
        </w:rPr>
        <w:t>: If a regulatory requirement states that the entire harmonic band should be tested for the spurious emissions measurement, then Option 1 should be precluded.</w:t>
      </w:r>
    </w:p>
    <w:p w:rsidR="00186ED0" w:rsidRDefault="00186ED0">
      <w:pPr>
        <w:rPr>
          <w:rFonts w:ascii="Arial" w:hAnsi="Arial" w:cs="Arial"/>
          <w:i/>
        </w:rPr>
      </w:pPr>
    </w:p>
    <w:p w:rsidR="00186ED0" w:rsidRDefault="00186ED0" w:rsidP="00186ED0">
      <w:pPr>
        <w:rPr>
          <w:rFonts w:ascii="Arial" w:hAnsi="Arial" w:cs="Arial"/>
          <w:i/>
        </w:rPr>
      </w:pPr>
      <w:r>
        <w:rPr>
          <w:rFonts w:ascii="Arial" w:hAnsi="Arial" w:cs="Arial"/>
          <w:b/>
          <w:i/>
        </w:rPr>
        <w:t>Observation 2</w:t>
      </w:r>
      <w:r>
        <w:rPr>
          <w:rFonts w:ascii="Arial" w:hAnsi="Arial" w:cs="Arial"/>
          <w:i/>
        </w:rPr>
        <w:t>: If a regulatory requirement defines the reference bandwidths for each of frequency ranges for the measurements, then the RAN4 requirement should be aligned with this definition. Thus, Option 4 should be precluded if it is not aligned with the regulatory requirement.</w:t>
      </w:r>
    </w:p>
    <w:p w:rsidR="00186ED0" w:rsidRDefault="00186ED0" w:rsidP="00186ED0">
      <w:pPr>
        <w:rPr>
          <w:rFonts w:ascii="Arial" w:hAnsi="Arial" w:cs="Arial"/>
        </w:rPr>
      </w:pPr>
    </w:p>
    <w:p w:rsidR="00186ED0" w:rsidRDefault="00186ED0" w:rsidP="00186ED0">
      <w:pPr>
        <w:rPr>
          <w:rFonts w:ascii="Arial" w:hAnsi="Arial" w:cs="Arial"/>
          <w:i/>
        </w:rPr>
      </w:pPr>
      <w:r>
        <w:rPr>
          <w:rFonts w:ascii="Arial" w:hAnsi="Arial" w:cs="Arial"/>
          <w:b/>
          <w:i/>
        </w:rPr>
        <w:t>Observation 3</w:t>
      </w:r>
      <w:r>
        <w:rPr>
          <w:rFonts w:ascii="Arial" w:hAnsi="Arial" w:cs="Arial"/>
          <w:i/>
        </w:rPr>
        <w:t>: From the testability perspective, measurement techniques, such as the optimization of resolution bandwidth to reduce the overall test time should not be precluded from consideration.</w:t>
      </w:r>
    </w:p>
    <w:p w:rsidR="00186ED0" w:rsidRDefault="00186ED0" w:rsidP="00186ED0">
      <w:pPr>
        <w:rPr>
          <w:rFonts w:ascii="Arial" w:hAnsi="Arial" w:cs="Arial"/>
        </w:rPr>
      </w:pPr>
    </w:p>
    <w:p w:rsidR="00186ED0" w:rsidRDefault="00186ED0" w:rsidP="00186ED0">
      <w:pPr>
        <w:rPr>
          <w:rFonts w:ascii="Arial" w:hAnsi="Arial" w:cs="Arial"/>
          <w:i/>
        </w:rPr>
      </w:pPr>
      <w:r>
        <w:rPr>
          <w:rFonts w:ascii="Arial" w:hAnsi="Arial" w:cs="Arial"/>
          <w:b/>
          <w:i/>
        </w:rPr>
        <w:t>Observation 4</w:t>
      </w:r>
      <w:r>
        <w:rPr>
          <w:rFonts w:ascii="Arial" w:hAnsi="Arial" w:cs="Arial"/>
          <w:i/>
        </w:rPr>
        <w:t>: Option 3 is an implementation choice and should be precluded as a possible option for the specification.</w:t>
      </w:r>
    </w:p>
    <w:p w:rsidR="00186ED0" w:rsidRDefault="00186ED0"/>
    <w:p w:rsidR="00186ED0" w:rsidRDefault="00186ED0" w:rsidP="00186ED0">
      <w:pPr>
        <w:rPr>
          <w:rFonts w:ascii="Arial" w:hAnsi="Arial" w:cs="Arial"/>
          <w:i/>
        </w:rPr>
      </w:pPr>
      <w:r>
        <w:rPr>
          <w:rFonts w:ascii="Arial" w:hAnsi="Arial" w:cs="Arial"/>
          <w:b/>
          <w:i/>
        </w:rPr>
        <w:lastRenderedPageBreak/>
        <w:t>Observation 5</w:t>
      </w:r>
      <w:r>
        <w:rPr>
          <w:rFonts w:ascii="Arial" w:hAnsi="Arial" w:cs="Arial"/>
          <w:i/>
        </w:rPr>
        <w:t xml:space="preserve">: From the perspective of technology evolution, the -30 </w:t>
      </w:r>
      <w:proofErr w:type="spellStart"/>
      <w:r>
        <w:rPr>
          <w:rFonts w:ascii="Arial" w:hAnsi="Arial" w:cs="Arial"/>
          <w:i/>
        </w:rPr>
        <w:t>dBm</w:t>
      </w:r>
      <w:proofErr w:type="spellEnd"/>
      <w:r>
        <w:rPr>
          <w:rFonts w:ascii="Arial" w:hAnsi="Arial" w:cs="Arial"/>
          <w:i/>
        </w:rPr>
        <w:t>/MHz limit may be undergoing re-evaluation by the relevant regulatory bodies and we should understand the limit before finalizing the 3GPP requirement.</w:t>
      </w:r>
    </w:p>
    <w:p w:rsidR="00186ED0" w:rsidRDefault="00186ED0"/>
    <w:p w:rsidR="00186ED0" w:rsidRDefault="00186ED0" w:rsidP="00186ED0">
      <w:pPr>
        <w:rPr>
          <w:rFonts w:ascii="Arial" w:hAnsi="Arial" w:cs="Arial"/>
          <w:i/>
        </w:rPr>
      </w:pPr>
      <w:r>
        <w:rPr>
          <w:rFonts w:ascii="Arial" w:hAnsi="Arial" w:cs="Arial"/>
          <w:b/>
          <w:i/>
        </w:rPr>
        <w:t>Observation 6</w:t>
      </w:r>
      <w:r>
        <w:rPr>
          <w:rFonts w:ascii="Arial" w:hAnsi="Arial" w:cs="Arial"/>
          <w:i/>
        </w:rPr>
        <w:t>: It is understood that the relevant regulatory bodies may consider the testability of the limit as another aspect in its definition.</w:t>
      </w:r>
    </w:p>
    <w:p w:rsidR="00186ED0" w:rsidRDefault="00186ED0"/>
    <w:p w:rsidR="00186ED0" w:rsidRPr="00186ED0" w:rsidRDefault="00186ED0">
      <w:pPr>
        <w:rPr>
          <w:rFonts w:ascii="Arial" w:hAnsi="Arial" w:cs="Arial"/>
          <w:i/>
        </w:rPr>
      </w:pPr>
      <w:r>
        <w:rPr>
          <w:rFonts w:ascii="Arial" w:hAnsi="Arial" w:cs="Arial"/>
          <w:b/>
          <w:i/>
        </w:rPr>
        <w:t>Proposal 1</w:t>
      </w:r>
      <w:r>
        <w:rPr>
          <w:rFonts w:ascii="Arial" w:hAnsi="Arial" w:cs="Arial"/>
          <w:i/>
        </w:rPr>
        <w:t>: Because the requirement on unwanted emissions in the spurious domain is still undergoing discussions in the relevant regulatory bodies, and 3GPP expects an LS incoming from ITU-R WP5D, which we can use to structure further discussion. Until then it may not be possible for 3GPP to finalize this requirement in the RAN4 specification.</w:t>
      </w:r>
    </w:p>
    <w:p w:rsidR="00D07D2A" w:rsidRDefault="005669FD">
      <w:pPr>
        <w:pStyle w:val="Heading1"/>
      </w:pPr>
      <w:r>
        <w:t>4</w:t>
      </w:r>
      <w:r>
        <w:tab/>
        <w:t>Reference</w:t>
      </w:r>
    </w:p>
    <w:p w:rsidR="00D07D2A" w:rsidRDefault="00D07D2A"/>
    <w:p w:rsidR="00D07D2A" w:rsidRDefault="005669FD">
      <w:pPr>
        <w:numPr>
          <w:ilvl w:val="0"/>
          <w:numId w:val="5"/>
        </w:numPr>
        <w:tabs>
          <w:tab w:val="num" w:pos="426"/>
        </w:tabs>
        <w:autoSpaceDN w:val="0"/>
        <w:spacing w:after="180"/>
        <w:ind w:left="426" w:hanging="426"/>
        <w:rPr>
          <w:rFonts w:ascii="Arial" w:hAnsi="Arial" w:cs="Arial"/>
          <w:lang w:val="it-IT"/>
        </w:rPr>
      </w:pPr>
      <w:bookmarkStart w:id="1" w:name="_Ref485628388"/>
      <w:r>
        <w:rPr>
          <w:rFonts w:ascii="Arial" w:hAnsi="Arial" w:cs="Arial"/>
          <w:lang w:val="it-IT"/>
        </w:rPr>
        <w:t>R4-1706072, WF on NR general spurious emissions, NTT Docomo, RAN4#83, Hangzhou, May 2017</w:t>
      </w:r>
      <w:bookmarkEnd w:id="1"/>
    </w:p>
    <w:p w:rsidR="00D07D2A" w:rsidRDefault="005669FD">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ITU-R SM.329-12, Unwanted emissions in the spurious domain, ITU-R, Sep. 2012</w:t>
      </w:r>
    </w:p>
    <w:p w:rsidR="00D07D2A" w:rsidRDefault="005669FD">
      <w:pPr>
        <w:numPr>
          <w:ilvl w:val="0"/>
          <w:numId w:val="5"/>
        </w:numPr>
        <w:tabs>
          <w:tab w:val="num" w:pos="426"/>
        </w:tabs>
        <w:autoSpaceDN w:val="0"/>
        <w:spacing w:after="180"/>
        <w:ind w:left="426" w:hanging="426"/>
        <w:rPr>
          <w:rFonts w:ascii="Arial" w:hAnsi="Arial" w:cs="Arial"/>
          <w:lang w:val="it-IT"/>
        </w:rPr>
      </w:pPr>
      <w:bookmarkStart w:id="2" w:name="_Ref485624210"/>
      <w:r>
        <w:rPr>
          <w:rFonts w:ascii="Arial" w:hAnsi="Arial" w:cs="Arial"/>
          <w:lang w:val="it-IT"/>
        </w:rPr>
        <w:t>CEPT/ERC/REC 74-01, “Unwanted emissions in the spurious domain,” ERC, January 2011</w:t>
      </w:r>
      <w:bookmarkEnd w:id="2"/>
    </w:p>
    <w:p w:rsidR="006F68B1" w:rsidRDefault="006F68B1">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Document 5D/TEMP/321-E, “Draft Liaison Statement to 3GPP on Unwanted Emissions of IMT-2020,” ITU-R WP5D</w:t>
      </w:r>
    </w:p>
    <w:sectPr w:rsidR="006F68B1">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230C7"/>
    <w:multiLevelType w:val="hybridMultilevel"/>
    <w:tmpl w:val="D9AE9D14"/>
    <w:lvl w:ilvl="0" w:tplc="76F63B86">
      <w:start w:val="1"/>
      <w:numFmt w:val="bullet"/>
      <w:lvlText w:val="•"/>
      <w:lvlJc w:val="left"/>
      <w:pPr>
        <w:tabs>
          <w:tab w:val="num" w:pos="720"/>
        </w:tabs>
        <w:ind w:left="720" w:hanging="360"/>
      </w:pPr>
      <w:rPr>
        <w:rFonts w:ascii="Arial" w:hAnsi="Arial" w:hint="default"/>
      </w:rPr>
    </w:lvl>
    <w:lvl w:ilvl="1" w:tplc="D39EF980">
      <w:start w:val="49"/>
      <w:numFmt w:val="bullet"/>
      <w:lvlText w:val="–"/>
      <w:lvlJc w:val="left"/>
      <w:pPr>
        <w:tabs>
          <w:tab w:val="num" w:pos="1440"/>
        </w:tabs>
        <w:ind w:left="1440" w:hanging="360"/>
      </w:pPr>
      <w:rPr>
        <w:rFonts w:ascii="Arial" w:hAnsi="Arial" w:hint="default"/>
      </w:rPr>
    </w:lvl>
    <w:lvl w:ilvl="2" w:tplc="4C9EC912" w:tentative="1">
      <w:start w:val="1"/>
      <w:numFmt w:val="bullet"/>
      <w:lvlText w:val="•"/>
      <w:lvlJc w:val="left"/>
      <w:pPr>
        <w:tabs>
          <w:tab w:val="num" w:pos="2160"/>
        </w:tabs>
        <w:ind w:left="2160" w:hanging="360"/>
      </w:pPr>
      <w:rPr>
        <w:rFonts w:ascii="Arial" w:hAnsi="Arial" w:hint="default"/>
      </w:rPr>
    </w:lvl>
    <w:lvl w:ilvl="3" w:tplc="2F3C8EF6" w:tentative="1">
      <w:start w:val="1"/>
      <w:numFmt w:val="bullet"/>
      <w:lvlText w:val="•"/>
      <w:lvlJc w:val="left"/>
      <w:pPr>
        <w:tabs>
          <w:tab w:val="num" w:pos="2880"/>
        </w:tabs>
        <w:ind w:left="2880" w:hanging="360"/>
      </w:pPr>
      <w:rPr>
        <w:rFonts w:ascii="Arial" w:hAnsi="Arial" w:hint="default"/>
      </w:rPr>
    </w:lvl>
    <w:lvl w:ilvl="4" w:tplc="DC1A5F3A" w:tentative="1">
      <w:start w:val="1"/>
      <w:numFmt w:val="bullet"/>
      <w:lvlText w:val="•"/>
      <w:lvlJc w:val="left"/>
      <w:pPr>
        <w:tabs>
          <w:tab w:val="num" w:pos="3600"/>
        </w:tabs>
        <w:ind w:left="3600" w:hanging="360"/>
      </w:pPr>
      <w:rPr>
        <w:rFonts w:ascii="Arial" w:hAnsi="Arial" w:hint="default"/>
      </w:rPr>
    </w:lvl>
    <w:lvl w:ilvl="5" w:tplc="D0F279B0" w:tentative="1">
      <w:start w:val="1"/>
      <w:numFmt w:val="bullet"/>
      <w:lvlText w:val="•"/>
      <w:lvlJc w:val="left"/>
      <w:pPr>
        <w:tabs>
          <w:tab w:val="num" w:pos="4320"/>
        </w:tabs>
        <w:ind w:left="4320" w:hanging="360"/>
      </w:pPr>
      <w:rPr>
        <w:rFonts w:ascii="Arial" w:hAnsi="Arial" w:hint="default"/>
      </w:rPr>
    </w:lvl>
    <w:lvl w:ilvl="6" w:tplc="E1E6D692" w:tentative="1">
      <w:start w:val="1"/>
      <w:numFmt w:val="bullet"/>
      <w:lvlText w:val="•"/>
      <w:lvlJc w:val="left"/>
      <w:pPr>
        <w:tabs>
          <w:tab w:val="num" w:pos="5040"/>
        </w:tabs>
        <w:ind w:left="5040" w:hanging="360"/>
      </w:pPr>
      <w:rPr>
        <w:rFonts w:ascii="Arial" w:hAnsi="Arial" w:hint="default"/>
      </w:rPr>
    </w:lvl>
    <w:lvl w:ilvl="7" w:tplc="60B469A0" w:tentative="1">
      <w:start w:val="1"/>
      <w:numFmt w:val="bullet"/>
      <w:lvlText w:val="•"/>
      <w:lvlJc w:val="left"/>
      <w:pPr>
        <w:tabs>
          <w:tab w:val="num" w:pos="5760"/>
        </w:tabs>
        <w:ind w:left="5760" w:hanging="360"/>
      </w:pPr>
      <w:rPr>
        <w:rFonts w:ascii="Arial" w:hAnsi="Arial" w:hint="default"/>
      </w:rPr>
    </w:lvl>
    <w:lvl w:ilvl="8" w:tplc="C1067C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0"/>
  </w:num>
  <w:num w:numId="4">
    <w:abstractNumId w:val="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1"/>
  </w:num>
  <w:num w:numId="8">
    <w:abstractNumId w:val="1"/>
  </w:num>
  <w:num w:numId="9">
    <w:abstractNumId w:val="14"/>
  </w:num>
  <w:num w:numId="10">
    <w:abstractNumId w:val="7"/>
  </w:num>
  <w:num w:numId="11">
    <w:abstractNumId w:val="3"/>
  </w:num>
  <w:num w:numId="12">
    <w:abstractNumId w:val="0"/>
  </w:num>
  <w:num w:numId="13">
    <w:abstractNumId w:val="2"/>
  </w:num>
  <w:num w:numId="14">
    <w:abstractNumId w:val="8"/>
  </w:num>
  <w:num w:numId="15">
    <w:abstractNumId w:val="17"/>
  </w:num>
  <w:num w:numId="16">
    <w:abstractNumId w:val="5"/>
  </w:num>
  <w:num w:numId="17">
    <w:abstractNumId w:val="18"/>
  </w:num>
  <w:num w:numId="18">
    <w:abstractNumId w:val="9"/>
  </w:num>
  <w:num w:numId="19">
    <w:abstractNumId w:val="11"/>
  </w:num>
  <w:num w:numId="20">
    <w:abstractNumId w:val="16"/>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trackRevisions/>
  <w:defaultTabStop w:val="720"/>
  <w:hyphenationZone w:val="425"/>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D2A"/>
    <w:rsid w:val="000D5176"/>
    <w:rsid w:val="00186ED0"/>
    <w:rsid w:val="004535CD"/>
    <w:rsid w:val="005669FD"/>
    <w:rsid w:val="006F68B1"/>
    <w:rsid w:val="00861285"/>
    <w:rsid w:val="00C74D7D"/>
    <w:rsid w:val="00D07D2A"/>
    <w:rsid w:val="00DD365F"/>
    <w:rsid w:val="00F524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Pr>
      <w:rFonts w:ascii="Arial" w:eastAsia="Batang" w:hAnsi="Arial" w:cs="Times New Roman"/>
      <w:sz w:val="36"/>
      <w:szCs w:val="20"/>
      <w:lang w:val="en-GB" w:eastAsia="en-US"/>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MS Mincho" w:hAnsi="Times New Roman"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214586670">
      <w:bodyDiv w:val="1"/>
      <w:marLeft w:val="0"/>
      <w:marRight w:val="0"/>
      <w:marTop w:val="0"/>
      <w:marBottom w:val="0"/>
      <w:divBdr>
        <w:top w:val="none" w:sz="0" w:space="0" w:color="auto"/>
        <w:left w:val="none" w:sz="0" w:space="0" w:color="auto"/>
        <w:bottom w:val="none" w:sz="0" w:space="0" w:color="auto"/>
        <w:right w:val="none" w:sz="0" w:space="0" w:color="auto"/>
      </w:divBdr>
      <w:divsChild>
        <w:div w:id="618413149">
          <w:marLeft w:val="547"/>
          <w:marRight w:val="0"/>
          <w:marTop w:val="96"/>
          <w:marBottom w:val="0"/>
          <w:divBdr>
            <w:top w:val="none" w:sz="0" w:space="0" w:color="auto"/>
            <w:left w:val="none" w:sz="0" w:space="0" w:color="auto"/>
            <w:bottom w:val="none" w:sz="0" w:space="0" w:color="auto"/>
            <w:right w:val="none" w:sz="0" w:space="0" w:color="auto"/>
          </w:divBdr>
        </w:div>
        <w:div w:id="414212265">
          <w:marLeft w:val="547"/>
          <w:marRight w:val="0"/>
          <w:marTop w:val="106"/>
          <w:marBottom w:val="0"/>
          <w:divBdr>
            <w:top w:val="none" w:sz="0" w:space="0" w:color="auto"/>
            <w:left w:val="none" w:sz="0" w:space="0" w:color="auto"/>
            <w:bottom w:val="none" w:sz="0" w:space="0" w:color="auto"/>
            <w:right w:val="none" w:sz="0" w:space="0" w:color="auto"/>
          </w:divBdr>
        </w:div>
        <w:div w:id="1528717540">
          <w:marLeft w:val="1166"/>
          <w:marRight w:val="0"/>
          <w:marTop w:val="86"/>
          <w:marBottom w:val="0"/>
          <w:divBdr>
            <w:top w:val="none" w:sz="0" w:space="0" w:color="auto"/>
            <w:left w:val="none" w:sz="0" w:space="0" w:color="auto"/>
            <w:bottom w:val="none" w:sz="0" w:space="0" w:color="auto"/>
            <w:right w:val="none" w:sz="0" w:space="0" w:color="auto"/>
          </w:divBdr>
        </w:div>
        <w:div w:id="2056154909">
          <w:marLeft w:val="1166"/>
          <w:marRight w:val="0"/>
          <w:marTop w:val="86"/>
          <w:marBottom w:val="0"/>
          <w:divBdr>
            <w:top w:val="none" w:sz="0" w:space="0" w:color="auto"/>
            <w:left w:val="none" w:sz="0" w:space="0" w:color="auto"/>
            <w:bottom w:val="none" w:sz="0" w:space="0" w:color="auto"/>
            <w:right w:val="none" w:sz="0" w:space="0" w:color="auto"/>
          </w:divBdr>
        </w:div>
        <w:div w:id="2133622567">
          <w:marLeft w:val="1166"/>
          <w:marRight w:val="0"/>
          <w:marTop w:val="86"/>
          <w:marBottom w:val="0"/>
          <w:divBdr>
            <w:top w:val="none" w:sz="0" w:space="0" w:color="auto"/>
            <w:left w:val="none" w:sz="0" w:space="0" w:color="auto"/>
            <w:bottom w:val="none" w:sz="0" w:space="0" w:color="auto"/>
            <w:right w:val="none" w:sz="0" w:space="0" w:color="auto"/>
          </w:divBdr>
        </w:div>
        <w:div w:id="908880912">
          <w:marLeft w:val="1166"/>
          <w:marRight w:val="0"/>
          <w:marTop w:val="86"/>
          <w:marBottom w:val="0"/>
          <w:divBdr>
            <w:top w:val="none" w:sz="0" w:space="0" w:color="auto"/>
            <w:left w:val="none" w:sz="0" w:space="0" w:color="auto"/>
            <w:bottom w:val="none" w:sz="0" w:space="0" w:color="auto"/>
            <w:right w:val="none" w:sz="0" w:space="0" w:color="auto"/>
          </w:divBdr>
        </w:div>
        <w:div w:id="1066495159">
          <w:marLeft w:val="1166"/>
          <w:marRight w:val="0"/>
          <w:marTop w:val="86"/>
          <w:marBottom w:val="0"/>
          <w:divBdr>
            <w:top w:val="none" w:sz="0" w:space="0" w:color="auto"/>
            <w:left w:val="none" w:sz="0" w:space="0" w:color="auto"/>
            <w:bottom w:val="none" w:sz="0" w:space="0" w:color="auto"/>
            <w:right w:val="none" w:sz="0" w:space="0" w:color="auto"/>
          </w:divBdr>
        </w:div>
      </w:divsChild>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CTPClassification=CTP_IC:VisualMarkings=</cp:keywords>
  <dc:description/>
  <cp:lastModifiedBy>Kim, Jiwoo</cp:lastModifiedBy>
  <cp:revision>4</cp:revision>
  <dcterms:created xsi:type="dcterms:W3CDTF">2017-06-19T21:26:00Z</dcterms:created>
  <dcterms:modified xsi:type="dcterms:W3CDTF">2017-06-19T21:26:00Z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fa3c80b8-4d72-4033-b437-dbefebe76dc3</vt:lpwstr>
  </property>
  <property fmtid="{D5CDD505-2E9C-101B-9397-08002B2CF9AE}" pid="3" name="CTP_BU">
    <vt:lpwstr>NEXT GEN AND STANDARDS GROUP</vt:lpwstr>
  </property>
  <property fmtid="{D5CDD505-2E9C-101B-9397-08002B2CF9AE}" pid="4" name="CTP_TimeStamp">
    <vt:lpwstr>2017-06-19 21:05:02Z</vt:lpwstr>
  </property>
  <property fmtid="{D5CDD505-2E9C-101B-9397-08002B2CF9AE}" pid="5" name="CTPClassification">
    <vt:lpwstr>CTP_IC</vt:lpwstr>
  </property>
</Properties>
</file>